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7AC2" w14:textId="57B330DF" w:rsidR="00A429B6" w:rsidRDefault="00A429B6" w:rsidP="00A429B6">
      <w:pPr>
        <w:jc w:val="center"/>
        <w:rPr>
          <w:b/>
          <w:bCs/>
        </w:rPr>
      </w:pPr>
      <w:r w:rsidRPr="00A429B6">
        <w:rPr>
          <w:b/>
          <w:bCs/>
        </w:rPr>
        <w:t xml:space="preserve">ZAŁĄCZNIK </w:t>
      </w:r>
      <w:r w:rsidR="00D926EC">
        <w:rPr>
          <w:b/>
          <w:bCs/>
        </w:rPr>
        <w:t>B</w:t>
      </w:r>
      <w:r w:rsidRPr="00A429B6">
        <w:rPr>
          <w:b/>
          <w:bCs/>
        </w:rPr>
        <w:t xml:space="preserve"> do ZAŁĄCZNIKA NR 1</w:t>
      </w:r>
      <w:r w:rsidR="00B2346C">
        <w:rPr>
          <w:b/>
          <w:bCs/>
        </w:rPr>
        <w:t>8</w:t>
      </w:r>
      <w:r w:rsidRPr="00A429B6">
        <w:rPr>
          <w:b/>
          <w:bCs/>
        </w:rPr>
        <w:t xml:space="preserve"> – UPP</w:t>
      </w:r>
    </w:p>
    <w:p w14:paraId="6B4A5808" w14:textId="4F810EDF" w:rsidR="00C33A05" w:rsidRPr="00C33A05" w:rsidRDefault="00C33A05" w:rsidP="00C33A05">
      <w:pPr>
        <w:jc w:val="center"/>
        <w:rPr>
          <w:b/>
          <w:bCs/>
        </w:rPr>
      </w:pPr>
      <w:r w:rsidRPr="00C33A05">
        <w:rPr>
          <w:b/>
          <w:bCs/>
        </w:rPr>
        <w:t>PODPRZETWARZAJĄCY (WYKAZ I ZASADY ZARZĄDZANIA)</w:t>
      </w:r>
    </w:p>
    <w:p w14:paraId="228BE12E" w14:textId="77777777" w:rsidR="00C33A05" w:rsidRDefault="00C33A05" w:rsidP="00A429B6">
      <w:pPr>
        <w:jc w:val="center"/>
        <w:rPr>
          <w:b/>
          <w:bCs/>
        </w:rPr>
      </w:pPr>
    </w:p>
    <w:p w14:paraId="3DB1FFBA" w14:textId="1A4EA2CC" w:rsidR="00C33A05" w:rsidRDefault="00C33A05" w:rsidP="00C33A05">
      <w:r>
        <w:t xml:space="preserve">Cel: Niniejszy Załącznik </w:t>
      </w:r>
      <w:r w:rsidR="009760EA">
        <w:t>B</w:t>
      </w:r>
      <w:r>
        <w:t xml:space="preserve"> określa wykaz zatwierdzonych </w:t>
      </w:r>
      <w:proofErr w:type="spellStart"/>
      <w:r>
        <w:t>podprzetwarzających</w:t>
      </w:r>
      <w:proofErr w:type="spellEnd"/>
      <w:r>
        <w:t xml:space="preserve"> (</w:t>
      </w:r>
      <w:proofErr w:type="spellStart"/>
      <w:r>
        <w:t>subprocesorów</w:t>
      </w:r>
      <w:proofErr w:type="spellEnd"/>
      <w:r>
        <w:t xml:space="preserve">) oraz zasady ich dodawania, zmiany i usuwania, zgodnie z art. 28 RODO i Umową UPP. </w:t>
      </w:r>
      <w:proofErr w:type="spellStart"/>
      <w:r>
        <w:t>Podprzetwarzający</w:t>
      </w:r>
      <w:proofErr w:type="spellEnd"/>
      <w:r>
        <w:t xml:space="preserve"> mogą być angażowani przez Procesora wyłącznie w zakresie i na zasadach zaakceptowanych przez Administratora (ADO).</w:t>
      </w:r>
    </w:p>
    <w:p w14:paraId="7462DA4B" w14:textId="77777777" w:rsidR="00C33A05" w:rsidRPr="00C33A05" w:rsidRDefault="00C33A05" w:rsidP="00C33A05">
      <w:pPr>
        <w:pStyle w:val="Akapitzlist"/>
        <w:numPr>
          <w:ilvl w:val="0"/>
          <w:numId w:val="23"/>
        </w:numPr>
      </w:pPr>
      <w:r w:rsidRPr="00C33A05">
        <w:rPr>
          <w:b/>
          <w:sz w:val="24"/>
        </w:rPr>
        <w:t>Zakres i definicje</w:t>
      </w:r>
    </w:p>
    <w:p w14:paraId="48FD1377" w14:textId="77777777" w:rsidR="00C33A05" w:rsidRDefault="00C33A05" w:rsidP="00C33A05">
      <w:pPr>
        <w:pStyle w:val="Akapitzlist"/>
        <w:numPr>
          <w:ilvl w:val="1"/>
          <w:numId w:val="23"/>
        </w:numPr>
      </w:pPr>
      <w:proofErr w:type="spellStart"/>
      <w:r>
        <w:t>Podprzetwarzający</w:t>
      </w:r>
      <w:proofErr w:type="spellEnd"/>
      <w:r>
        <w:t xml:space="preserve"> – podmiot, który przetwarza dane osobowe w imieniu Procesora w związku z realizacją Umowy głównej.</w:t>
      </w:r>
    </w:p>
    <w:p w14:paraId="0D16F7B7" w14:textId="2BBE923E" w:rsidR="00C33A05" w:rsidRDefault="00C33A05" w:rsidP="00C33A05">
      <w:pPr>
        <w:pStyle w:val="Akapitzlist"/>
        <w:numPr>
          <w:ilvl w:val="1"/>
          <w:numId w:val="23"/>
        </w:numPr>
      </w:pPr>
      <w:r>
        <w:t xml:space="preserve">Zatrudnienie </w:t>
      </w:r>
      <w:proofErr w:type="spellStart"/>
      <w:r>
        <w:t>podprzetwarzającego</w:t>
      </w:r>
      <w:proofErr w:type="spellEnd"/>
      <w:r>
        <w:t xml:space="preserve"> wymaga zgody ADO (indywidualnej lub ogólnej z prawem sprzeciwu), a Procesor nakłada na </w:t>
      </w:r>
      <w:proofErr w:type="spellStart"/>
      <w:r>
        <w:t>podprzetwarzającego</w:t>
      </w:r>
      <w:proofErr w:type="spellEnd"/>
      <w:r>
        <w:t xml:space="preserve"> obowiązki równoważne postanowieniom UPP (tzw. </w:t>
      </w:r>
      <w:proofErr w:type="spellStart"/>
      <w:r>
        <w:t>flow</w:t>
      </w:r>
      <w:proofErr w:type="spellEnd"/>
      <w:r>
        <w:t>-down).</w:t>
      </w:r>
    </w:p>
    <w:p w14:paraId="4529D9FB" w14:textId="01FA52A1" w:rsidR="00C33A05" w:rsidRPr="00C33A05" w:rsidRDefault="00C33A05" w:rsidP="00C33A05">
      <w:pPr>
        <w:pStyle w:val="Akapitzlist"/>
        <w:numPr>
          <w:ilvl w:val="0"/>
          <w:numId w:val="23"/>
        </w:numPr>
        <w:rPr>
          <w:b/>
          <w:sz w:val="24"/>
        </w:rPr>
      </w:pPr>
      <w:r>
        <w:rPr>
          <w:b/>
          <w:sz w:val="24"/>
        </w:rPr>
        <w:t xml:space="preserve">Wykaz zatwierdzonych </w:t>
      </w:r>
      <w:proofErr w:type="spellStart"/>
      <w:r>
        <w:rPr>
          <w:b/>
          <w:sz w:val="24"/>
        </w:rPr>
        <w:t>podprzetwarzających</w:t>
      </w:r>
      <w:proofErr w:type="spellEnd"/>
    </w:p>
    <w:p w14:paraId="719C5C5B" w14:textId="77777777" w:rsidR="00C33A05" w:rsidRDefault="00C33A05" w:rsidP="00C33A05">
      <w:r>
        <w:t>Poniższą tabelę wypełnia Procesor i aktualizuje po uzyskaniu wymaganych zgód ADO.</w:t>
      </w:r>
    </w:p>
    <w:tbl>
      <w:tblPr>
        <w:tblStyle w:val="Zwykatabela1"/>
        <w:tblW w:w="0" w:type="auto"/>
        <w:tblLook w:val="04A0" w:firstRow="1" w:lastRow="0" w:firstColumn="1" w:lastColumn="0" w:noHBand="0" w:noVBand="1"/>
      </w:tblPr>
      <w:tblGrid>
        <w:gridCol w:w="1409"/>
        <w:gridCol w:w="681"/>
        <w:gridCol w:w="897"/>
        <w:gridCol w:w="746"/>
        <w:gridCol w:w="1006"/>
        <w:gridCol w:w="767"/>
        <w:gridCol w:w="763"/>
        <w:gridCol w:w="836"/>
        <w:gridCol w:w="864"/>
        <w:gridCol w:w="1093"/>
      </w:tblGrid>
      <w:tr w:rsidR="00C33A05" w14:paraId="14CFA163" w14:textId="77777777" w:rsidTr="00C33A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</w:tcPr>
          <w:p w14:paraId="168FF7A9" w14:textId="77777777" w:rsidR="00C33A05" w:rsidRDefault="00C33A05" w:rsidP="004C0BB2">
            <w:r>
              <w:t xml:space="preserve">Nazwa </w:t>
            </w:r>
            <w:proofErr w:type="spellStart"/>
            <w:r>
              <w:t>podprzetwarzającego</w:t>
            </w:r>
            <w:proofErr w:type="spellEnd"/>
          </w:p>
        </w:tc>
        <w:tc>
          <w:tcPr>
            <w:tcW w:w="864" w:type="dxa"/>
          </w:tcPr>
          <w:p w14:paraId="2C1CD7C0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NIP/KRS</w:t>
            </w:r>
          </w:p>
        </w:tc>
        <w:tc>
          <w:tcPr>
            <w:tcW w:w="864" w:type="dxa"/>
          </w:tcPr>
          <w:p w14:paraId="698DB3EB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Rola/Usługa</w:t>
            </w:r>
          </w:p>
        </w:tc>
        <w:tc>
          <w:tcPr>
            <w:tcW w:w="864" w:type="dxa"/>
          </w:tcPr>
          <w:p w14:paraId="7C3C3009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Zakres czynności i kategorii danych</w:t>
            </w:r>
          </w:p>
        </w:tc>
        <w:tc>
          <w:tcPr>
            <w:tcW w:w="864" w:type="dxa"/>
          </w:tcPr>
          <w:p w14:paraId="2C0BB82A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Lokalizacja przetwarzania (kraj/region)</w:t>
            </w:r>
          </w:p>
        </w:tc>
        <w:tc>
          <w:tcPr>
            <w:tcW w:w="864" w:type="dxa"/>
          </w:tcPr>
          <w:p w14:paraId="58A4F681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EOG? (TAK/NIE)</w:t>
            </w:r>
          </w:p>
        </w:tc>
        <w:tc>
          <w:tcPr>
            <w:tcW w:w="864" w:type="dxa"/>
          </w:tcPr>
          <w:p w14:paraId="4B918522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Podstawa transferu (gdy poza EOG)</w:t>
            </w:r>
          </w:p>
        </w:tc>
        <w:tc>
          <w:tcPr>
            <w:tcW w:w="864" w:type="dxa"/>
          </w:tcPr>
          <w:p w14:paraId="28AD5420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Zgoda ADO (data/tryb)</w:t>
            </w:r>
          </w:p>
        </w:tc>
        <w:tc>
          <w:tcPr>
            <w:tcW w:w="864" w:type="dxa"/>
          </w:tcPr>
          <w:p w14:paraId="1C81233F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Data rozpoczęcia</w:t>
            </w:r>
          </w:p>
        </w:tc>
        <w:tc>
          <w:tcPr>
            <w:tcW w:w="864" w:type="dxa"/>
          </w:tcPr>
          <w:p w14:paraId="2131F6A3" w14:textId="77777777" w:rsidR="00C33A05" w:rsidRDefault="00C33A05" w:rsidP="004C0B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 dot. TOM/zgodności</w:t>
            </w:r>
          </w:p>
        </w:tc>
      </w:tr>
      <w:tr w:rsidR="00C33A05" w14:paraId="7A5BF6D9" w14:textId="77777777" w:rsidTr="00C33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</w:tcPr>
          <w:p w14:paraId="7C6F0217" w14:textId="77777777" w:rsidR="00C33A05" w:rsidRDefault="00C33A05" w:rsidP="004C0BB2"/>
        </w:tc>
        <w:tc>
          <w:tcPr>
            <w:tcW w:w="864" w:type="dxa"/>
          </w:tcPr>
          <w:p w14:paraId="49B03639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81D0AF1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5D39780C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0BF3C8E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4382BF0B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9E7F054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21FB719A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4641E56E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690B878C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3A05" w14:paraId="63FD5E84" w14:textId="77777777" w:rsidTr="00C33A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</w:tcPr>
          <w:p w14:paraId="3519DFBD" w14:textId="77777777" w:rsidR="00C33A05" w:rsidRDefault="00C33A05" w:rsidP="004C0BB2"/>
        </w:tc>
        <w:tc>
          <w:tcPr>
            <w:tcW w:w="864" w:type="dxa"/>
          </w:tcPr>
          <w:p w14:paraId="3CA927B5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4065209F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2A153C0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2169404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373917D3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2453D73C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3F74E5F9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02A75EBF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69EA7E54" w14:textId="77777777" w:rsidR="00C33A05" w:rsidRDefault="00C33A05" w:rsidP="004C0B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3A05" w14:paraId="3CCC28FF" w14:textId="77777777" w:rsidTr="00C33A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</w:tcPr>
          <w:p w14:paraId="0A1FE46B" w14:textId="77777777" w:rsidR="00C33A05" w:rsidRDefault="00C33A05" w:rsidP="004C0BB2"/>
        </w:tc>
        <w:tc>
          <w:tcPr>
            <w:tcW w:w="864" w:type="dxa"/>
          </w:tcPr>
          <w:p w14:paraId="048A9705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53D04C7E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79136805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788A7762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7312D645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34B31605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55608885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736233D3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64" w:type="dxa"/>
          </w:tcPr>
          <w:p w14:paraId="196B19DE" w14:textId="77777777" w:rsidR="00C33A05" w:rsidRDefault="00C33A05" w:rsidP="004C0B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9167C5C" w14:textId="77777777" w:rsidR="00C33A05" w:rsidRDefault="00C33A05" w:rsidP="00C33A05">
      <w:pPr>
        <w:pStyle w:val="Akapitzlist"/>
        <w:numPr>
          <w:ilvl w:val="0"/>
          <w:numId w:val="23"/>
        </w:numPr>
        <w:rPr>
          <w:b/>
          <w:sz w:val="24"/>
        </w:rPr>
      </w:pPr>
      <w:r>
        <w:rPr>
          <w:b/>
          <w:sz w:val="24"/>
        </w:rPr>
        <w:t xml:space="preserve">Zasady angażowania, zmiany i usuwania </w:t>
      </w:r>
      <w:proofErr w:type="spellStart"/>
      <w:r>
        <w:rPr>
          <w:b/>
          <w:sz w:val="24"/>
        </w:rPr>
        <w:t>podprzetwarzających</w:t>
      </w:r>
      <w:proofErr w:type="spellEnd"/>
    </w:p>
    <w:p w14:paraId="60ED5A53" w14:textId="0456981E" w:rsidR="00C33A05" w:rsidRPr="00C33A05" w:rsidRDefault="00C33A05" w:rsidP="00C33A05">
      <w:pPr>
        <w:pStyle w:val="Akapitzlist"/>
        <w:numPr>
          <w:ilvl w:val="1"/>
          <w:numId w:val="23"/>
        </w:numPr>
        <w:rPr>
          <w:sz w:val="24"/>
        </w:rPr>
      </w:pPr>
      <w:r w:rsidRPr="00C33A05">
        <w:t xml:space="preserve">Dodanie nowego </w:t>
      </w:r>
      <w:proofErr w:type="spellStart"/>
      <w:r w:rsidRPr="00C33A05">
        <w:t>podprzetwarzającego</w:t>
      </w:r>
      <w:proofErr w:type="spellEnd"/>
      <w:r w:rsidRPr="00C33A05">
        <w:t xml:space="preserve"> wymaga uprzedniej zgody ADO:</w:t>
      </w:r>
    </w:p>
    <w:p w14:paraId="0CAF08BC" w14:textId="77777777" w:rsidR="00C33A05" w:rsidRDefault="00C33A05" w:rsidP="00C33A05">
      <w:r>
        <w:t xml:space="preserve">   a) Zgoda indywidualna – każdorazowo przed rozpoczęciem przetwarzania.</w:t>
      </w:r>
    </w:p>
    <w:p w14:paraId="31EEBAF6" w14:textId="77777777" w:rsidR="00C33A05" w:rsidRDefault="00C33A05" w:rsidP="00C33A05">
      <w:r>
        <w:t xml:space="preserve">   b) Zgoda ogólna – Procesor notyfikuje ADO co najmniej 10 dni roboczych przed planowanym rozpoczęciem; ADO może wnieść sprzeciw.</w:t>
      </w:r>
    </w:p>
    <w:p w14:paraId="3977B310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>Zmiana zakresu prac, lokalizacji danych lub transferów poza EOG wymaga uprzedniej zgody ADO i, jeśli dotyczy, wdrożenia odpowiednich zabezpieczeń (SCC + TIA) oraz aktualizacji wykazu.</w:t>
      </w:r>
    </w:p>
    <w:p w14:paraId="1140DDE1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 xml:space="preserve">Usunięcie </w:t>
      </w:r>
      <w:proofErr w:type="spellStart"/>
      <w:r>
        <w:t>podprzetwarzającego</w:t>
      </w:r>
      <w:proofErr w:type="spellEnd"/>
      <w:r>
        <w:t>: Procesor zapewnia zakończenie przetwarzania danych ADO oraz ich bezpieczne usunięcie/zwrot; potwierdza to protokołem przekazanym ADO w terminie 14 dni.</w:t>
      </w:r>
    </w:p>
    <w:p w14:paraId="18223FCC" w14:textId="3BD26386" w:rsidR="00C33A05" w:rsidRDefault="00C33A05" w:rsidP="00C33A05">
      <w:pPr>
        <w:pStyle w:val="Akapitzlist"/>
        <w:numPr>
          <w:ilvl w:val="1"/>
          <w:numId w:val="23"/>
        </w:numPr>
      </w:pPr>
      <w:r>
        <w:lastRenderedPageBreak/>
        <w:t xml:space="preserve">Sytuacje nagłe (awaria, ciągłość świadczenia): dopuszczalne doraźne skorzystanie z usług równoważnego </w:t>
      </w:r>
      <w:proofErr w:type="spellStart"/>
      <w:r>
        <w:t>podprzetwarzającego</w:t>
      </w:r>
      <w:proofErr w:type="spellEnd"/>
      <w:r>
        <w:t>, o ile niezwłocznie (max 48h) przekazano powiadomienie do ADO i uzyskano potwierdzenie; dotyczy wyłącznie usług niezbędnych do przywrócenia ciągłości.</w:t>
      </w:r>
    </w:p>
    <w:p w14:paraId="74F6353F" w14:textId="77F8AA84" w:rsidR="00C33A05" w:rsidRPr="00C33A05" w:rsidRDefault="00C33A05" w:rsidP="00C33A05">
      <w:pPr>
        <w:pStyle w:val="Akapitzlist"/>
        <w:numPr>
          <w:ilvl w:val="0"/>
          <w:numId w:val="23"/>
        </w:numPr>
        <w:rPr>
          <w:b/>
          <w:sz w:val="24"/>
        </w:rPr>
      </w:pPr>
      <w:proofErr w:type="spellStart"/>
      <w:r>
        <w:rPr>
          <w:b/>
          <w:sz w:val="24"/>
        </w:rPr>
        <w:t>Due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diligence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podprzetwarzających</w:t>
      </w:r>
      <w:proofErr w:type="spellEnd"/>
      <w:r>
        <w:rPr>
          <w:b/>
          <w:sz w:val="24"/>
        </w:rPr>
        <w:t xml:space="preserve"> (lista kontrolna)</w:t>
      </w:r>
    </w:p>
    <w:p w14:paraId="024070A8" w14:textId="77777777" w:rsidR="00C33A05" w:rsidRDefault="00C33A05" w:rsidP="00C33A05">
      <w:r>
        <w:t xml:space="preserve">Procesor przeprowadza i dokumentuje ocenę należytej staranności przed zaangażowaniem </w:t>
      </w:r>
      <w:proofErr w:type="spellStart"/>
      <w:r>
        <w:t>podprzetwarzającego</w:t>
      </w:r>
      <w:proofErr w:type="spellEnd"/>
      <w:r>
        <w:t>:</w:t>
      </w:r>
    </w:p>
    <w:p w14:paraId="5AEE163D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>Weryfikacja prawna i organizacyjna (KRS/NIP, siedziba, własność, reputacja, brak sankcji).</w:t>
      </w:r>
    </w:p>
    <w:p w14:paraId="2183BC99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>Zgodność z RODO – posiadane certyfikaty/standardy (np. ISO/IEC 27001:2022), polityki bezpieczeństwa, szkolenia personelu.</w:t>
      </w:r>
    </w:p>
    <w:p w14:paraId="07A21323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>Środki techniczne i organizacyjne (TOM) – kontrola dostępu (RBAC/MFA), szyfrowanie, logowanie, backup, zarządzanie podatnościami.</w:t>
      </w:r>
    </w:p>
    <w:p w14:paraId="124C901A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 xml:space="preserve">Lokalizacja danych i łańcuch </w:t>
      </w:r>
      <w:proofErr w:type="spellStart"/>
      <w:r>
        <w:t>podprzetwarzania</w:t>
      </w:r>
      <w:proofErr w:type="spellEnd"/>
      <w:r>
        <w:t xml:space="preserve"> – brak transferów poza EOG lub wdrożone zabezpieczenia (SCC) i ocena TIA.</w:t>
      </w:r>
    </w:p>
    <w:p w14:paraId="32FE4FE4" w14:textId="77777777" w:rsidR="00C33A05" w:rsidRDefault="00C33A05" w:rsidP="00C33A05">
      <w:pPr>
        <w:pStyle w:val="Akapitzlist"/>
        <w:numPr>
          <w:ilvl w:val="1"/>
          <w:numId w:val="23"/>
        </w:numPr>
      </w:pPr>
      <w:r>
        <w:t>Historia incydentów i czas reakcji (SLA bezpieczeństwa), procedury IR oraz zgłaszania naruszeń ≤24 h.</w:t>
      </w:r>
    </w:p>
    <w:p w14:paraId="0F6736A0" w14:textId="4E767F4B" w:rsidR="00C33A05" w:rsidRDefault="00C33A05" w:rsidP="00C33A05">
      <w:pPr>
        <w:pStyle w:val="Akapitzlist"/>
        <w:numPr>
          <w:ilvl w:val="1"/>
          <w:numId w:val="23"/>
        </w:numPr>
      </w:pPr>
      <w:r>
        <w:t xml:space="preserve">Postanowienia umowne – NDA, </w:t>
      </w:r>
      <w:proofErr w:type="spellStart"/>
      <w:r>
        <w:t>flow</w:t>
      </w:r>
      <w:proofErr w:type="spellEnd"/>
      <w:r>
        <w:t>-down obowiązków z UPP, prawo audytu ADO, retencja/usunięcie danych, kary umowne.</w:t>
      </w:r>
    </w:p>
    <w:p w14:paraId="05A74EE7" w14:textId="76A503AF" w:rsidR="00C33A05" w:rsidRPr="00C33A05" w:rsidRDefault="00C33A05" w:rsidP="00C33A05">
      <w:pPr>
        <w:pStyle w:val="Akapitzlist"/>
        <w:numPr>
          <w:ilvl w:val="0"/>
          <w:numId w:val="23"/>
        </w:numPr>
        <w:rPr>
          <w:b/>
          <w:sz w:val="24"/>
        </w:rPr>
      </w:pPr>
      <w:r>
        <w:rPr>
          <w:b/>
          <w:sz w:val="24"/>
        </w:rPr>
        <w:t xml:space="preserve">Obowiązki nakładane na </w:t>
      </w:r>
      <w:proofErr w:type="spellStart"/>
      <w:r>
        <w:rPr>
          <w:b/>
          <w:sz w:val="24"/>
        </w:rPr>
        <w:t>podprzetwarzających</w:t>
      </w:r>
      <w:proofErr w:type="spellEnd"/>
    </w:p>
    <w:p w14:paraId="7E8A9EEC" w14:textId="77777777" w:rsidR="00C33A05" w:rsidRDefault="00C33A05" w:rsidP="00C33A05">
      <w:r>
        <w:t xml:space="preserve">Procesor zapewnia, że umowy z </w:t>
      </w:r>
      <w:proofErr w:type="spellStart"/>
      <w:r>
        <w:t>podprzetwarzającymi</w:t>
      </w:r>
      <w:proofErr w:type="spellEnd"/>
      <w:r>
        <w:t xml:space="preserve"> zawierają co najmniej równoważne obowiązki, jak w UPP, w szczególności: poufność personelu, przetwarzanie wyłącznie na polecenie Procesora/ADO, TOM adekwatne do ryzyka, pomoc ADO w realizacji praw osób, zgłaszanie naruszeń ≤24 h, prawo audytu, usunięcie/zwrot danych po zakończeniu, ograniczenia dot. podwykonawców kolejnych poziomów, zakaz wykorzystywania danych do własnych celów.</w:t>
      </w:r>
    </w:p>
    <w:p w14:paraId="26FFCDFB" w14:textId="03A041F1" w:rsidR="00C33A05" w:rsidRPr="00C33FD7" w:rsidRDefault="00C33A05" w:rsidP="00C33FD7">
      <w:pPr>
        <w:pStyle w:val="Akapitzlist"/>
        <w:numPr>
          <w:ilvl w:val="0"/>
          <w:numId w:val="23"/>
        </w:numPr>
        <w:rPr>
          <w:b/>
          <w:sz w:val="24"/>
        </w:rPr>
      </w:pPr>
      <w:r>
        <w:rPr>
          <w:b/>
          <w:sz w:val="24"/>
        </w:rPr>
        <w:t>Procedura notyfikacji i sprzeciwu ADO</w:t>
      </w:r>
    </w:p>
    <w:p w14:paraId="49F61F9C" w14:textId="6015E433" w:rsidR="00C33FD7" w:rsidRDefault="00C33A05" w:rsidP="00C33A05">
      <w:pPr>
        <w:pStyle w:val="Akapitzlist"/>
        <w:numPr>
          <w:ilvl w:val="1"/>
          <w:numId w:val="23"/>
        </w:numPr>
      </w:pPr>
      <w:r>
        <w:t xml:space="preserve">Notyfikacje o planowanym dodaniu lub zmianie </w:t>
      </w:r>
      <w:proofErr w:type="spellStart"/>
      <w:r>
        <w:t>podprzetwarzającego</w:t>
      </w:r>
      <w:proofErr w:type="spellEnd"/>
      <w:r>
        <w:t xml:space="preserve"> Procesor kieruje na adres e-mail ADO: </w:t>
      </w:r>
      <w:r w:rsidR="00DC072B">
        <w:t>szczytna@szczytna.pl</w:t>
      </w:r>
      <w:r>
        <w:t xml:space="preserve">; zawierają: nazwę, zakres, lokalizację danych, EOG/poza EOG, termin rozpoczęcia, ocenę </w:t>
      </w:r>
      <w:proofErr w:type="spellStart"/>
      <w:r>
        <w:t>due</w:t>
      </w:r>
      <w:proofErr w:type="spellEnd"/>
      <w:r>
        <w:t xml:space="preserve"> </w:t>
      </w:r>
      <w:proofErr w:type="spellStart"/>
      <w:r>
        <w:t>diligence</w:t>
      </w:r>
      <w:proofErr w:type="spellEnd"/>
      <w:r>
        <w:t xml:space="preserve"> i TOM.</w:t>
      </w:r>
    </w:p>
    <w:p w14:paraId="613BE187" w14:textId="17FC6D34" w:rsidR="00C33A05" w:rsidRDefault="00C33A05" w:rsidP="00C33A05">
      <w:pPr>
        <w:pStyle w:val="Akapitzlist"/>
        <w:numPr>
          <w:ilvl w:val="1"/>
          <w:numId w:val="23"/>
        </w:numPr>
      </w:pPr>
      <w:r>
        <w:t xml:space="preserve">ADO może wnieść sprzeciw w terminie 10 dni roboczych od otrzymania notyfikacji; w razie sprzeciwu Procesor nie angażuje wskazanego </w:t>
      </w:r>
      <w:proofErr w:type="spellStart"/>
      <w:r>
        <w:t>podprzetwarzającego</w:t>
      </w:r>
      <w:proofErr w:type="spellEnd"/>
      <w:r>
        <w:t>.</w:t>
      </w:r>
    </w:p>
    <w:p w14:paraId="14931D04" w14:textId="3B9CF0FA" w:rsidR="00F636E2" w:rsidRDefault="00F636E2" w:rsidP="00C33A05">
      <w:pPr>
        <w:pStyle w:val="Akapitzlist"/>
        <w:numPr>
          <w:ilvl w:val="1"/>
          <w:numId w:val="23"/>
        </w:numPr>
      </w:pPr>
      <w:r w:rsidRPr="00F636E2">
        <w:t>W sytuacjach nagłych stosuje się tryb 48h, a termin 10 dni roboczych nie ma zastosowania.</w:t>
      </w:r>
    </w:p>
    <w:p w14:paraId="5147F459" w14:textId="1F8196BF" w:rsidR="00C33A05" w:rsidRPr="00C33FD7" w:rsidRDefault="00C33A05" w:rsidP="00C33FD7">
      <w:pPr>
        <w:pStyle w:val="Akapitzlist"/>
        <w:numPr>
          <w:ilvl w:val="0"/>
          <w:numId w:val="23"/>
        </w:numPr>
        <w:rPr>
          <w:b/>
          <w:sz w:val="24"/>
        </w:rPr>
      </w:pPr>
      <w:r>
        <w:rPr>
          <w:b/>
          <w:sz w:val="24"/>
        </w:rPr>
        <w:t>Podpisy i odpowiedzialność</w:t>
      </w:r>
    </w:p>
    <w:p w14:paraId="5075E148" w14:textId="7A81A2E0" w:rsidR="00C33A05" w:rsidRDefault="00C33A05" w:rsidP="00C33A05">
      <w:r>
        <w:t xml:space="preserve">Niniejszy Załącznik </w:t>
      </w:r>
      <w:r w:rsidR="009760EA">
        <w:t>B</w:t>
      </w:r>
      <w:r>
        <w:t xml:space="preserve"> stanowi integralną część UPP. Procesor odpowiada za działania i zaniechania </w:t>
      </w:r>
      <w:proofErr w:type="spellStart"/>
      <w:r>
        <w:t>podprzetwarzających</w:t>
      </w:r>
      <w:proofErr w:type="spellEnd"/>
      <w:r>
        <w:t xml:space="preserve"> jak za własne. Zmiany wykazu wymagają zachowania procedur wskazanych powyżej.</w:t>
      </w:r>
    </w:p>
    <w:p w14:paraId="0AF3024A" w14:textId="6C00C4B3" w:rsidR="00C33A05" w:rsidRDefault="00C33A05" w:rsidP="00C33A05">
      <w:r>
        <w:t>Data: 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95"/>
        <w:gridCol w:w="4295"/>
      </w:tblGrid>
      <w:tr w:rsidR="00C33A05" w14:paraId="42116E5E" w14:textId="77777777" w:rsidTr="00C33FD7">
        <w:trPr>
          <w:trHeight w:val="1166"/>
        </w:trPr>
        <w:tc>
          <w:tcPr>
            <w:tcW w:w="4295" w:type="dxa"/>
          </w:tcPr>
          <w:p w14:paraId="27AB93F2" w14:textId="788CDC75" w:rsidR="00C33A05" w:rsidRDefault="00C33A05" w:rsidP="004C0BB2">
            <w:r>
              <w:t>Administrator (ADO)</w:t>
            </w:r>
            <w:r>
              <w:br/>
            </w:r>
            <w:r>
              <w:br/>
              <w:t>.............................................</w:t>
            </w:r>
            <w:r>
              <w:br/>
            </w:r>
          </w:p>
        </w:tc>
        <w:tc>
          <w:tcPr>
            <w:tcW w:w="4295" w:type="dxa"/>
          </w:tcPr>
          <w:p w14:paraId="7C577431" w14:textId="22698A33" w:rsidR="00C33A05" w:rsidRDefault="00C33A05" w:rsidP="004C0BB2">
            <w:r>
              <w:t>Procesor (Wykonawca)</w:t>
            </w:r>
            <w:r>
              <w:br/>
            </w:r>
            <w:r>
              <w:br/>
              <w:t>............................................</w:t>
            </w:r>
          </w:p>
        </w:tc>
      </w:tr>
      <w:tr w:rsidR="00C33A05" w14:paraId="203DD49C" w14:textId="77777777" w:rsidTr="00C33FD7">
        <w:trPr>
          <w:trHeight w:val="392"/>
        </w:trPr>
        <w:tc>
          <w:tcPr>
            <w:tcW w:w="4295" w:type="dxa"/>
          </w:tcPr>
          <w:p w14:paraId="31C3DBA6" w14:textId="77777777" w:rsidR="00C33A05" w:rsidRDefault="00C33A05" w:rsidP="004C0BB2"/>
        </w:tc>
        <w:tc>
          <w:tcPr>
            <w:tcW w:w="4295" w:type="dxa"/>
          </w:tcPr>
          <w:p w14:paraId="41CE3E6E" w14:textId="77777777" w:rsidR="00C33A05" w:rsidRDefault="00C33A05" w:rsidP="004C0BB2"/>
        </w:tc>
      </w:tr>
    </w:tbl>
    <w:p w14:paraId="23B95EAF" w14:textId="77777777" w:rsidR="00C33A05" w:rsidRPr="00A429B6" w:rsidRDefault="00C33A05" w:rsidP="00C33FD7">
      <w:pPr>
        <w:rPr>
          <w:b/>
          <w:bCs/>
        </w:rPr>
      </w:pPr>
    </w:p>
    <w:sectPr w:rsidR="00C33A05" w:rsidRPr="00A429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B3B5D" w14:textId="77777777" w:rsidR="00544A10" w:rsidRDefault="00544A10">
      <w:pPr>
        <w:spacing w:after="0" w:line="240" w:lineRule="auto"/>
      </w:pPr>
      <w:r>
        <w:separator/>
      </w:r>
    </w:p>
  </w:endnote>
  <w:endnote w:type="continuationSeparator" w:id="0">
    <w:p w14:paraId="6C789604" w14:textId="77777777" w:rsidR="00544A10" w:rsidRDefault="0054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EE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E041" w14:textId="77777777" w:rsidR="00FB4FFE" w:rsidRDefault="00FB4F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4B92" w14:textId="77777777" w:rsidR="00941164" w:rsidRDefault="0094116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871C" w14:textId="77777777" w:rsidR="00941164" w:rsidRDefault="009411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0B0D" w14:textId="77777777" w:rsidR="00544A10" w:rsidRDefault="00544A10">
      <w:pPr>
        <w:spacing w:after="0" w:line="240" w:lineRule="auto"/>
      </w:pPr>
      <w:r>
        <w:separator/>
      </w:r>
    </w:p>
  </w:footnote>
  <w:footnote w:type="continuationSeparator" w:id="0">
    <w:p w14:paraId="0C6703B7" w14:textId="77777777" w:rsidR="00544A10" w:rsidRDefault="00544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4E3B" w14:textId="77777777" w:rsidR="00FB4FFE" w:rsidRDefault="00FB4F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C3333A" w14:paraId="6EFA215C" w14:textId="77777777" w:rsidTr="00F66CB7">
      <w:tc>
        <w:tcPr>
          <w:tcW w:w="3623" w:type="dxa"/>
          <w:vAlign w:val="center"/>
        </w:tcPr>
        <w:p w14:paraId="4D2BC603" w14:textId="77777777" w:rsidR="00C3333A" w:rsidRDefault="00C3333A" w:rsidP="00C3333A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7B1B0062" wp14:editId="55EAB9EB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3583456" w14:textId="6C9D9916" w:rsidR="00C3333A" w:rsidRDefault="00C3333A" w:rsidP="00C3333A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09DC9984" w14:textId="77777777" w:rsidR="00C3333A" w:rsidRDefault="00C3333A" w:rsidP="00C3333A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28EB5233" wp14:editId="66BD4298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CDEC069" w14:textId="77777777" w:rsidR="00941164" w:rsidRPr="00C3333A" w:rsidRDefault="00C3333A" w:rsidP="00C3333A">
    <w:pPr>
      <w:pStyle w:val="Nagwek"/>
    </w:pPr>
    <w:r>
      <w:rPr>
        <w:noProof/>
      </w:rPr>
      <w:drawing>
        <wp:anchor distT="0" distB="0" distL="0" distR="0" simplePos="0" relativeHeight="251660288" behindDoc="1" locked="0" layoutInCell="0" allowOverlap="1" wp14:anchorId="05B0B9C8" wp14:editId="67D3EB18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Look w:val="04A0" w:firstRow="1" w:lastRow="0" w:firstColumn="1" w:lastColumn="0" w:noHBand="0" w:noVBand="1"/>
    </w:tblPr>
    <w:tblGrid>
      <w:gridCol w:w="3753"/>
      <w:gridCol w:w="2249"/>
      <w:gridCol w:w="3070"/>
    </w:tblGrid>
    <w:tr w:rsidR="00941164" w14:paraId="44B9181E" w14:textId="77777777">
      <w:tc>
        <w:tcPr>
          <w:tcW w:w="3753" w:type="dxa"/>
          <w:vAlign w:val="center"/>
        </w:tcPr>
        <w:p w14:paraId="41F903C5" w14:textId="77777777" w:rsidR="00941164" w:rsidRDefault="00F3232F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7EEF5D3" wp14:editId="35596E07">
                <wp:extent cx="2247900" cy="714375"/>
                <wp:effectExtent l="0" t="0" r="0" b="0"/>
                <wp:docPr id="4" name="Obraz 11" descr="Obraz zawierający tek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11" descr="Obraz zawierający tek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9" w:type="dxa"/>
          <w:vAlign w:val="center"/>
        </w:tcPr>
        <w:p w14:paraId="091285C5" w14:textId="77777777" w:rsidR="00941164" w:rsidRDefault="00941164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070" w:type="dxa"/>
          <w:vAlign w:val="center"/>
        </w:tcPr>
        <w:p w14:paraId="26A28AF1" w14:textId="77777777" w:rsidR="00941164" w:rsidRDefault="00F3232F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42DEDC3B" wp14:editId="7AB3AD87">
                <wp:extent cx="1800225" cy="476885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476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BDF0534" w14:textId="77777777" w:rsidR="00941164" w:rsidRDefault="00F3232F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5A151C09" wp14:editId="76E1792E">
          <wp:simplePos x="0" y="0"/>
          <wp:positionH relativeFrom="column">
            <wp:posOffset>-170815</wp:posOffset>
          </wp:positionH>
          <wp:positionV relativeFrom="paragraph">
            <wp:posOffset>8593455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3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474815"/>
    <w:multiLevelType w:val="multilevel"/>
    <w:tmpl w:val="2CD0B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5A72814"/>
    <w:multiLevelType w:val="multilevel"/>
    <w:tmpl w:val="81CCF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AE07EC1"/>
    <w:multiLevelType w:val="hybridMultilevel"/>
    <w:tmpl w:val="2EA2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54C79"/>
    <w:multiLevelType w:val="hybridMultilevel"/>
    <w:tmpl w:val="155E1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C3156"/>
    <w:multiLevelType w:val="multilevel"/>
    <w:tmpl w:val="016AA3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6400397"/>
    <w:multiLevelType w:val="multilevel"/>
    <w:tmpl w:val="AE1850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7C70C47"/>
    <w:multiLevelType w:val="multilevel"/>
    <w:tmpl w:val="7A326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EF098B"/>
    <w:multiLevelType w:val="multilevel"/>
    <w:tmpl w:val="858CC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CB4B46"/>
    <w:multiLevelType w:val="multilevel"/>
    <w:tmpl w:val="F7924B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E7C4CBA"/>
    <w:multiLevelType w:val="hybridMultilevel"/>
    <w:tmpl w:val="5C267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41711"/>
    <w:multiLevelType w:val="multilevel"/>
    <w:tmpl w:val="50AC70C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52391FCC"/>
    <w:multiLevelType w:val="hybridMultilevel"/>
    <w:tmpl w:val="16006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81E69"/>
    <w:multiLevelType w:val="multilevel"/>
    <w:tmpl w:val="C3460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6B22B73"/>
    <w:multiLevelType w:val="hybridMultilevel"/>
    <w:tmpl w:val="1D36F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2EE7"/>
    <w:multiLevelType w:val="multilevel"/>
    <w:tmpl w:val="280CD6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46553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C63DC1"/>
    <w:multiLevelType w:val="multilevel"/>
    <w:tmpl w:val="A8E2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E8000E7"/>
    <w:multiLevelType w:val="multilevel"/>
    <w:tmpl w:val="903001D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726D04FE"/>
    <w:multiLevelType w:val="hybridMultilevel"/>
    <w:tmpl w:val="8018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77A80"/>
    <w:multiLevelType w:val="multilevel"/>
    <w:tmpl w:val="B43A980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7BE26732"/>
    <w:multiLevelType w:val="multilevel"/>
    <w:tmpl w:val="771AC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D8B159A"/>
    <w:multiLevelType w:val="hybridMultilevel"/>
    <w:tmpl w:val="E5FC9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750177">
    <w:abstractNumId w:val="5"/>
  </w:num>
  <w:num w:numId="2" w16cid:durableId="1854606930">
    <w:abstractNumId w:val="7"/>
  </w:num>
  <w:num w:numId="3" w16cid:durableId="1087732847">
    <w:abstractNumId w:val="13"/>
  </w:num>
  <w:num w:numId="4" w16cid:durableId="2021810834">
    <w:abstractNumId w:val="6"/>
  </w:num>
  <w:num w:numId="5" w16cid:durableId="279535312">
    <w:abstractNumId w:val="21"/>
  </w:num>
  <w:num w:numId="6" w16cid:durableId="2084252982">
    <w:abstractNumId w:val="15"/>
  </w:num>
  <w:num w:numId="7" w16cid:durableId="1876850613">
    <w:abstractNumId w:val="9"/>
  </w:num>
  <w:num w:numId="8" w16cid:durableId="329990230">
    <w:abstractNumId w:val="17"/>
  </w:num>
  <w:num w:numId="9" w16cid:durableId="509493388">
    <w:abstractNumId w:val="1"/>
  </w:num>
  <w:num w:numId="10" w16cid:durableId="480922669">
    <w:abstractNumId w:val="8"/>
  </w:num>
  <w:num w:numId="11" w16cid:durableId="1712027377">
    <w:abstractNumId w:val="18"/>
  </w:num>
  <w:num w:numId="12" w16cid:durableId="1036127826">
    <w:abstractNumId w:val="11"/>
  </w:num>
  <w:num w:numId="13" w16cid:durableId="1944456508">
    <w:abstractNumId w:val="20"/>
  </w:num>
  <w:num w:numId="14" w16cid:durableId="866452547">
    <w:abstractNumId w:val="2"/>
  </w:num>
  <w:num w:numId="15" w16cid:durableId="392385664">
    <w:abstractNumId w:val="22"/>
  </w:num>
  <w:num w:numId="16" w16cid:durableId="1323896440">
    <w:abstractNumId w:val="14"/>
  </w:num>
  <w:num w:numId="17" w16cid:durableId="883565448">
    <w:abstractNumId w:val="19"/>
  </w:num>
  <w:num w:numId="18" w16cid:durableId="392628402">
    <w:abstractNumId w:val="4"/>
  </w:num>
  <w:num w:numId="19" w16cid:durableId="945306254">
    <w:abstractNumId w:val="3"/>
  </w:num>
  <w:num w:numId="20" w16cid:durableId="514923442">
    <w:abstractNumId w:val="10"/>
  </w:num>
  <w:num w:numId="21" w16cid:durableId="877930550">
    <w:abstractNumId w:val="12"/>
  </w:num>
  <w:num w:numId="22" w16cid:durableId="738331710">
    <w:abstractNumId w:val="16"/>
  </w:num>
  <w:num w:numId="23" w16cid:durableId="48347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64"/>
    <w:rsid w:val="0000542A"/>
    <w:rsid w:val="0007241C"/>
    <w:rsid w:val="000A2044"/>
    <w:rsid w:val="000B1C1A"/>
    <w:rsid w:val="001247E5"/>
    <w:rsid w:val="0016693D"/>
    <w:rsid w:val="00180A37"/>
    <w:rsid w:val="001F54C9"/>
    <w:rsid w:val="0024677F"/>
    <w:rsid w:val="00254B7F"/>
    <w:rsid w:val="002B11C3"/>
    <w:rsid w:val="0034335E"/>
    <w:rsid w:val="00351E63"/>
    <w:rsid w:val="003637E2"/>
    <w:rsid w:val="00401661"/>
    <w:rsid w:val="004224E7"/>
    <w:rsid w:val="004A2913"/>
    <w:rsid w:val="00500B6F"/>
    <w:rsid w:val="00544A10"/>
    <w:rsid w:val="005F54ED"/>
    <w:rsid w:val="006441BF"/>
    <w:rsid w:val="00654D3D"/>
    <w:rsid w:val="006C7584"/>
    <w:rsid w:val="00773EA1"/>
    <w:rsid w:val="00792C10"/>
    <w:rsid w:val="007B5F57"/>
    <w:rsid w:val="00875FB5"/>
    <w:rsid w:val="00904F24"/>
    <w:rsid w:val="00941164"/>
    <w:rsid w:val="009760EA"/>
    <w:rsid w:val="009C497D"/>
    <w:rsid w:val="00A17CD2"/>
    <w:rsid w:val="00A429B6"/>
    <w:rsid w:val="00A716B5"/>
    <w:rsid w:val="00B011F0"/>
    <w:rsid w:val="00B2346C"/>
    <w:rsid w:val="00B26491"/>
    <w:rsid w:val="00B316D5"/>
    <w:rsid w:val="00B80134"/>
    <w:rsid w:val="00BB27FF"/>
    <w:rsid w:val="00BB5879"/>
    <w:rsid w:val="00C3333A"/>
    <w:rsid w:val="00C33A05"/>
    <w:rsid w:val="00C33FD7"/>
    <w:rsid w:val="00C50C5C"/>
    <w:rsid w:val="00C52A1F"/>
    <w:rsid w:val="00C81A32"/>
    <w:rsid w:val="00D926EC"/>
    <w:rsid w:val="00DA4FBF"/>
    <w:rsid w:val="00DA5940"/>
    <w:rsid w:val="00DC072B"/>
    <w:rsid w:val="00E36579"/>
    <w:rsid w:val="00E56020"/>
    <w:rsid w:val="00E92B72"/>
    <w:rsid w:val="00F12362"/>
    <w:rsid w:val="00F3232F"/>
    <w:rsid w:val="00F636E2"/>
    <w:rsid w:val="00F81DBC"/>
    <w:rsid w:val="00F92164"/>
    <w:rsid w:val="00FB2FC8"/>
    <w:rsid w:val="00FB4FFE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BCA40"/>
  <w15:docId w15:val="{B9A93BCB-6759-4645-83EA-91E9C4F7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433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C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CD2"/>
    <w:rPr>
      <w:rFonts w:ascii="Calibri" w:eastAsia="Lucida Sans Unicode" w:hAnsi="Calibri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CD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1F54C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54C9"/>
    <w:rPr>
      <w:b/>
      <w:bCs/>
    </w:rPr>
  </w:style>
  <w:style w:type="table" w:styleId="Siatkatabelijasna">
    <w:name w:val="Grid Table Light"/>
    <w:basedOn w:val="Standardowy"/>
    <w:uiPriority w:val="40"/>
    <w:rsid w:val="007B5F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7B5F5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6310-5B35-455C-B36F-3625E464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9</cp:revision>
  <cp:lastPrinted>2025-02-25T12:00:00Z</cp:lastPrinted>
  <dcterms:created xsi:type="dcterms:W3CDTF">2025-10-02T19:18:00Z</dcterms:created>
  <dcterms:modified xsi:type="dcterms:W3CDTF">2025-11-27T06:00:00Z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